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8B" w:rsidRDefault="00E41C8B" w:rsidP="00E41C8B">
      <w:pPr>
        <w:pStyle w:val="20"/>
        <w:shd w:val="clear" w:color="auto" w:fill="auto"/>
        <w:spacing w:after="206"/>
        <w:ind w:left="40" w:right="220"/>
      </w:pPr>
      <w:r>
        <w:rPr>
          <w:color w:val="000000"/>
        </w:rPr>
        <w:t>Информация о результатах проведения профилактического медицинского осмотра и диспансеризации определенных гру</w:t>
      </w:r>
      <w:proofErr w:type="gramStart"/>
      <w:r>
        <w:rPr>
          <w:color w:val="000000"/>
        </w:rPr>
        <w:t>пп взр</w:t>
      </w:r>
      <w:proofErr w:type="gramEnd"/>
      <w:r>
        <w:rPr>
          <w:color w:val="000000"/>
        </w:rPr>
        <w:t>ослого населения в ГУЗ «Липецкая город</w:t>
      </w:r>
      <w:r w:rsidR="005862E9">
        <w:rPr>
          <w:color w:val="000000"/>
        </w:rPr>
        <w:t>ская поликлиника №4» по итогам 3</w:t>
      </w:r>
      <w:r>
        <w:rPr>
          <w:color w:val="000000"/>
        </w:rPr>
        <w:t xml:space="preserve"> квартала 2022 года</w:t>
      </w:r>
    </w:p>
    <w:p w:rsidR="00E41C8B" w:rsidRDefault="00E41C8B" w:rsidP="00E41C8B">
      <w:pPr>
        <w:pStyle w:val="1"/>
        <w:shd w:val="clear" w:color="auto" w:fill="auto"/>
        <w:spacing w:before="0" w:after="258" w:line="210" w:lineRule="exact"/>
        <w:ind w:left="40"/>
      </w:pPr>
      <w:r>
        <w:rPr>
          <w:color w:val="000000"/>
        </w:rPr>
        <w:t>Фактическое выполнение основных показателей</w:t>
      </w:r>
    </w:p>
    <w:p w:rsidR="00E41C8B" w:rsidRDefault="00E41C8B" w:rsidP="00E41C8B">
      <w:pPr>
        <w:pStyle w:val="1"/>
        <w:shd w:val="clear" w:color="auto" w:fill="auto"/>
        <w:spacing w:before="0" w:after="0" w:line="210" w:lineRule="exact"/>
        <w:ind w:left="40"/>
      </w:pPr>
      <w:r>
        <w:rPr>
          <w:color w:val="000000"/>
        </w:rPr>
        <w:t>Выполнение плана по профилактическим медицинским осмотрам</w:t>
      </w:r>
    </w:p>
    <w:p w:rsidR="00E41C8B" w:rsidRPr="00442E60" w:rsidRDefault="00E41C8B"/>
    <w:p w:rsidR="00E41C8B" w:rsidRPr="00E41C8B" w:rsidRDefault="00E41C8B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4"/>
        <w:tblW w:w="0" w:type="auto"/>
        <w:tblInd w:w="937" w:type="dxa"/>
        <w:tblLook w:val="04A0" w:firstRow="1" w:lastRow="0" w:firstColumn="1" w:lastColumn="0" w:noHBand="0" w:noVBand="1"/>
      </w:tblPr>
      <w:tblGrid>
        <w:gridCol w:w="3328"/>
        <w:gridCol w:w="3329"/>
      </w:tblGrid>
      <w:tr w:rsidR="00E41C8B" w:rsidTr="00E41C8B">
        <w:trPr>
          <w:trHeight w:val="171"/>
        </w:trPr>
        <w:tc>
          <w:tcPr>
            <w:tcW w:w="3328" w:type="dxa"/>
          </w:tcPr>
          <w:p w:rsidR="00E41C8B" w:rsidRPr="00E41C8B" w:rsidRDefault="00E41C8B" w:rsidP="00E41C8B">
            <w:pPr>
              <w:jc w:val="center"/>
            </w:pPr>
            <w:r>
              <w:t>Проведено</w:t>
            </w:r>
          </w:p>
        </w:tc>
        <w:tc>
          <w:tcPr>
            <w:tcW w:w="3329" w:type="dxa"/>
          </w:tcPr>
          <w:p w:rsidR="00E41C8B" w:rsidRPr="00E41C8B" w:rsidRDefault="00E41C8B" w:rsidP="00E41C8B">
            <w:pPr>
              <w:jc w:val="center"/>
            </w:pPr>
            <w:r>
              <w:t>Подлежало</w:t>
            </w:r>
          </w:p>
        </w:tc>
      </w:tr>
      <w:tr w:rsidR="00E41C8B" w:rsidTr="00E41C8B">
        <w:trPr>
          <w:trHeight w:val="191"/>
        </w:trPr>
        <w:tc>
          <w:tcPr>
            <w:tcW w:w="3328" w:type="dxa"/>
          </w:tcPr>
          <w:p w:rsidR="00E41C8B" w:rsidRPr="00E41C8B" w:rsidRDefault="00E41C8B" w:rsidP="00E41C8B">
            <w:pPr>
              <w:jc w:val="center"/>
            </w:pPr>
            <w:r>
              <w:t>4929</w:t>
            </w:r>
          </w:p>
        </w:tc>
        <w:tc>
          <w:tcPr>
            <w:tcW w:w="3329" w:type="dxa"/>
          </w:tcPr>
          <w:p w:rsidR="00E41C8B" w:rsidRPr="00E41C8B" w:rsidRDefault="00E41C8B" w:rsidP="00E41C8B">
            <w:pPr>
              <w:jc w:val="center"/>
            </w:pPr>
            <w:r>
              <w:t>4829</w:t>
            </w:r>
          </w:p>
        </w:tc>
      </w:tr>
      <w:tr w:rsidR="00E41C8B" w:rsidTr="00E41C8B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657" w:type="dxa"/>
            <w:gridSpan w:val="2"/>
          </w:tcPr>
          <w:p w:rsidR="00E41C8B" w:rsidRPr="00E41C8B" w:rsidRDefault="00E41C8B" w:rsidP="00E41C8B">
            <w:pPr>
              <w:pStyle w:val="1"/>
              <w:shd w:val="clear" w:color="auto" w:fill="auto"/>
              <w:spacing w:before="0" w:after="0" w:line="276" w:lineRule="auto"/>
              <w:ind w:right="2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выполнения плана по </w:t>
            </w:r>
            <w:proofErr w:type="spellStart"/>
            <w:r>
              <w:rPr>
                <w:color w:val="000000"/>
              </w:rPr>
              <w:t>профосмотрам</w:t>
            </w:r>
            <w:proofErr w:type="spellEnd"/>
            <w:r>
              <w:rPr>
                <w:color w:val="000000"/>
              </w:rPr>
              <w:t xml:space="preserve"> 102%.</w:t>
            </w:r>
          </w:p>
        </w:tc>
      </w:tr>
    </w:tbl>
    <w:p w:rsidR="00E41C8B" w:rsidRDefault="00E41C8B" w:rsidP="00E41C8B">
      <w:pPr>
        <w:pStyle w:val="1"/>
        <w:shd w:val="clear" w:color="auto" w:fill="auto"/>
        <w:spacing w:before="0" w:after="0" w:line="509" w:lineRule="exact"/>
        <w:ind w:right="220"/>
      </w:pPr>
    </w:p>
    <w:p w:rsidR="00E41C8B" w:rsidRDefault="00442E60">
      <w:r>
        <w:rPr>
          <w:noProof/>
          <w:color w:val="000000"/>
          <w:lang w:eastAsia="ru-RU"/>
        </w:rPr>
        <w:drawing>
          <wp:inline distT="0" distB="0" distL="0" distR="0" wp14:anchorId="755AF443" wp14:editId="3D59A5B3">
            <wp:extent cx="5486400" cy="30956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2E60" w:rsidRDefault="00442E60"/>
    <w:tbl>
      <w:tblPr>
        <w:tblStyle w:val="a4"/>
        <w:tblW w:w="0" w:type="auto"/>
        <w:tblInd w:w="937" w:type="dxa"/>
        <w:tblLook w:val="04A0" w:firstRow="1" w:lastRow="0" w:firstColumn="1" w:lastColumn="0" w:noHBand="0" w:noVBand="1"/>
      </w:tblPr>
      <w:tblGrid>
        <w:gridCol w:w="3328"/>
        <w:gridCol w:w="3329"/>
      </w:tblGrid>
      <w:tr w:rsidR="00442E60" w:rsidTr="00A631E4">
        <w:trPr>
          <w:trHeight w:val="171"/>
        </w:trPr>
        <w:tc>
          <w:tcPr>
            <w:tcW w:w="3328" w:type="dxa"/>
          </w:tcPr>
          <w:p w:rsidR="00442E60" w:rsidRPr="00E41C8B" w:rsidRDefault="00442E60" w:rsidP="00A631E4">
            <w:pPr>
              <w:jc w:val="center"/>
            </w:pPr>
            <w:r>
              <w:lastRenderedPageBreak/>
              <w:t>Проведено</w:t>
            </w:r>
          </w:p>
        </w:tc>
        <w:tc>
          <w:tcPr>
            <w:tcW w:w="3329" w:type="dxa"/>
          </w:tcPr>
          <w:p w:rsidR="00442E60" w:rsidRPr="00E41C8B" w:rsidRDefault="00442E60" w:rsidP="00A631E4">
            <w:pPr>
              <w:jc w:val="center"/>
            </w:pPr>
            <w:r>
              <w:t>Подлежало</w:t>
            </w:r>
          </w:p>
        </w:tc>
      </w:tr>
      <w:tr w:rsidR="00442E60" w:rsidTr="00A631E4">
        <w:trPr>
          <w:trHeight w:val="191"/>
        </w:trPr>
        <w:tc>
          <w:tcPr>
            <w:tcW w:w="3328" w:type="dxa"/>
          </w:tcPr>
          <w:p w:rsidR="00442E60" w:rsidRPr="00E41C8B" w:rsidRDefault="00442E60" w:rsidP="00A631E4">
            <w:pPr>
              <w:jc w:val="center"/>
            </w:pPr>
            <w:r>
              <w:t>11804</w:t>
            </w:r>
          </w:p>
        </w:tc>
        <w:tc>
          <w:tcPr>
            <w:tcW w:w="3329" w:type="dxa"/>
          </w:tcPr>
          <w:p w:rsidR="00442E60" w:rsidRPr="00E41C8B" w:rsidRDefault="00442E60" w:rsidP="00A631E4">
            <w:pPr>
              <w:jc w:val="center"/>
            </w:pPr>
            <w:r>
              <w:t>12987</w:t>
            </w:r>
          </w:p>
        </w:tc>
      </w:tr>
      <w:tr w:rsidR="00442E60" w:rsidTr="00A631E4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657" w:type="dxa"/>
            <w:gridSpan w:val="2"/>
          </w:tcPr>
          <w:p w:rsidR="00442E60" w:rsidRPr="00E41C8B" w:rsidRDefault="00442E60" w:rsidP="00442E60">
            <w:pPr>
              <w:pStyle w:val="1"/>
              <w:shd w:val="clear" w:color="auto" w:fill="auto"/>
              <w:spacing w:before="0" w:after="0" w:line="276" w:lineRule="auto"/>
              <w:ind w:right="2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выполнения плана по </w:t>
            </w:r>
            <w:proofErr w:type="spellStart"/>
            <w:r>
              <w:rPr>
                <w:color w:val="000000"/>
              </w:rPr>
              <w:t>диспанцеризации</w:t>
            </w:r>
            <w:proofErr w:type="spellEnd"/>
            <w:r>
              <w:rPr>
                <w:color w:val="000000"/>
              </w:rPr>
              <w:t xml:space="preserve"> 91%.</w:t>
            </w:r>
          </w:p>
        </w:tc>
      </w:tr>
    </w:tbl>
    <w:p w:rsidR="00442E60" w:rsidRDefault="00442E60"/>
    <w:p w:rsidR="00442E60" w:rsidRPr="00442E60" w:rsidRDefault="00442E60" w:rsidP="00442E60">
      <w:pPr>
        <w:pStyle w:val="1"/>
        <w:shd w:val="clear" w:color="auto" w:fill="auto"/>
        <w:spacing w:before="0" w:after="0" w:line="210" w:lineRule="exact"/>
        <w:rPr>
          <w:sz w:val="24"/>
        </w:rPr>
      </w:pPr>
      <w:r w:rsidRPr="00442E60">
        <w:rPr>
          <w:color w:val="000000"/>
          <w:sz w:val="24"/>
        </w:rPr>
        <w:t xml:space="preserve">Гендерная структура </w:t>
      </w:r>
      <w:proofErr w:type="gramStart"/>
      <w:r w:rsidRPr="00442E60">
        <w:rPr>
          <w:color w:val="000000"/>
          <w:sz w:val="24"/>
        </w:rPr>
        <w:t>осмотренных</w:t>
      </w:r>
      <w:proofErr w:type="gramEnd"/>
    </w:p>
    <w:p w:rsidR="00442E60" w:rsidRDefault="00442E60"/>
    <w:p w:rsidR="00442E60" w:rsidRDefault="00442E6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5388F3" wp14:editId="0EB9A8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br w:type="textWrapping" w:clear="all"/>
      </w:r>
    </w:p>
    <w:p w:rsidR="004E73B3" w:rsidRDefault="004E73B3" w:rsidP="004E73B3">
      <w:pPr>
        <w:pStyle w:val="1"/>
        <w:shd w:val="clear" w:color="auto" w:fill="auto"/>
        <w:spacing w:before="0" w:after="534" w:line="317" w:lineRule="exact"/>
        <w:ind w:left="40"/>
        <w:jc w:val="both"/>
      </w:pPr>
      <w:r>
        <w:rPr>
          <w:color w:val="000000"/>
        </w:rPr>
        <w:t>В гендерной структуре при проведении профилактического осмотра преобладали мужчины</w:t>
      </w:r>
    </w:p>
    <w:p w:rsidR="004E73B3" w:rsidRDefault="004E73B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E73B3" w:rsidRPr="004E73B3" w:rsidRDefault="004E73B3" w:rsidP="004E73B3"/>
    <w:p w:rsidR="004E73B3" w:rsidRPr="004E73B3" w:rsidRDefault="004E73B3" w:rsidP="004E73B3"/>
    <w:p w:rsidR="004E73B3" w:rsidRPr="004E73B3" w:rsidRDefault="004E73B3" w:rsidP="004E73B3"/>
    <w:p w:rsidR="004E73B3" w:rsidRPr="004E73B3" w:rsidRDefault="004E73B3" w:rsidP="004E73B3"/>
    <w:p w:rsidR="004E73B3" w:rsidRPr="004E73B3" w:rsidRDefault="004E73B3" w:rsidP="004E73B3"/>
    <w:p w:rsidR="004E73B3" w:rsidRPr="004E73B3" w:rsidRDefault="004E73B3" w:rsidP="004E73B3"/>
    <w:p w:rsidR="004E73B3" w:rsidRPr="004E73B3" w:rsidRDefault="004E73B3" w:rsidP="004E73B3"/>
    <w:p w:rsidR="004E73B3" w:rsidRPr="004E73B3" w:rsidRDefault="004E73B3" w:rsidP="004E73B3"/>
    <w:p w:rsidR="004E73B3" w:rsidRDefault="004E73B3"/>
    <w:p w:rsidR="004E73B3" w:rsidRDefault="004E73B3"/>
    <w:p w:rsidR="004E73B3" w:rsidRDefault="004E73B3" w:rsidP="004E73B3">
      <w:pPr>
        <w:pStyle w:val="1"/>
        <w:shd w:val="clear" w:color="auto" w:fill="auto"/>
        <w:spacing w:before="0" w:after="0" w:line="210" w:lineRule="exact"/>
        <w:rPr>
          <w:color w:val="000000"/>
        </w:rPr>
      </w:pPr>
      <w:r>
        <w:rPr>
          <w:color w:val="000000"/>
        </w:rPr>
        <w:t>В гендерной структуре при проведении диспансеризации преобладали женщины</w:t>
      </w:r>
    </w:p>
    <w:p w:rsidR="004E73B3" w:rsidRDefault="004E73B3" w:rsidP="004E73B3">
      <w:pPr>
        <w:pStyle w:val="1"/>
        <w:shd w:val="clear" w:color="auto" w:fill="auto"/>
        <w:spacing w:before="0" w:after="0" w:line="210" w:lineRule="exact"/>
        <w:rPr>
          <w:color w:val="000000"/>
        </w:rPr>
      </w:pPr>
    </w:p>
    <w:p w:rsidR="004E73B3" w:rsidRDefault="004E73B3" w:rsidP="004E73B3">
      <w:pPr>
        <w:pStyle w:val="20"/>
        <w:shd w:val="clear" w:color="auto" w:fill="auto"/>
        <w:spacing w:after="0" w:line="283" w:lineRule="exact"/>
        <w:jc w:val="center"/>
        <w:rPr>
          <w:color w:val="000000"/>
        </w:rPr>
      </w:pPr>
      <w:r>
        <w:rPr>
          <w:color w:val="000000"/>
        </w:rPr>
        <w:lastRenderedPageBreak/>
        <w:t>Сведения о выявленных патологических состояниях на первом этапе диспансеризации определенных гру</w:t>
      </w:r>
      <w:proofErr w:type="gramStart"/>
      <w:r>
        <w:rPr>
          <w:color w:val="000000"/>
        </w:rPr>
        <w:t>пп взр</w:t>
      </w:r>
      <w:proofErr w:type="gramEnd"/>
      <w:r>
        <w:rPr>
          <w:color w:val="000000"/>
        </w:rPr>
        <w:t>ослого населения</w:t>
      </w:r>
    </w:p>
    <w:p w:rsidR="004E73B3" w:rsidRDefault="004E73B3" w:rsidP="004E73B3">
      <w:pPr>
        <w:pStyle w:val="20"/>
        <w:shd w:val="clear" w:color="auto" w:fill="auto"/>
        <w:spacing w:after="0" w:line="283" w:lineRule="exact"/>
        <w:jc w:val="center"/>
      </w:pPr>
    </w:p>
    <w:p w:rsidR="004E73B3" w:rsidRDefault="004E73B3" w:rsidP="004E73B3">
      <w:pPr>
        <w:pStyle w:val="20"/>
        <w:shd w:val="clear" w:color="auto" w:fill="auto"/>
        <w:spacing w:after="0" w:line="210" w:lineRule="exact"/>
        <w:ind w:left="520"/>
      </w:pPr>
      <w:r>
        <w:rPr>
          <w:color w:val="000000"/>
        </w:rPr>
        <w:t xml:space="preserve">Расчет на 16733 человек, прошедших диспансеризацию и </w:t>
      </w:r>
      <w:proofErr w:type="spellStart"/>
      <w:r>
        <w:rPr>
          <w:color w:val="000000"/>
        </w:rPr>
        <w:t>профосмотр</w:t>
      </w:r>
      <w:proofErr w:type="spellEnd"/>
    </w:p>
    <w:p w:rsidR="00442E60" w:rsidRDefault="004E73B3"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184FCE70" wp14:editId="48AF5A2E">
            <wp:extent cx="5486400" cy="3200400"/>
            <wp:effectExtent l="3810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73B3" w:rsidRDefault="004E73B3" w:rsidP="004E73B3">
      <w:pPr>
        <w:pStyle w:val="1"/>
        <w:shd w:val="clear" w:color="auto" w:fill="auto"/>
        <w:spacing w:before="0" w:after="299" w:line="283" w:lineRule="exact"/>
        <w:ind w:right="1160"/>
      </w:pPr>
      <w:r>
        <w:rPr>
          <w:color w:val="000000"/>
        </w:rPr>
        <w:t>Выводы - каждый второй гражданин, прошедший 1 этап диспансеризации имел патологические отклонения в состоянии своего здоровья.</w:t>
      </w:r>
    </w:p>
    <w:p w:rsidR="004E73B3" w:rsidRDefault="004E73B3" w:rsidP="004E73B3">
      <w:pPr>
        <w:pStyle w:val="1"/>
        <w:shd w:val="clear" w:color="auto" w:fill="auto"/>
        <w:spacing w:before="0" w:after="262" w:line="210" w:lineRule="exact"/>
      </w:pPr>
      <w:r>
        <w:rPr>
          <w:color w:val="000000"/>
        </w:rPr>
        <w:t>На второй этап направлено 7059 человек.</w:t>
      </w:r>
    </w:p>
    <w:p w:rsidR="004E73B3" w:rsidRDefault="004E73B3" w:rsidP="004E73B3">
      <w:pPr>
        <w:pStyle w:val="20"/>
        <w:shd w:val="clear" w:color="auto" w:fill="auto"/>
        <w:spacing w:after="0" w:line="274" w:lineRule="exact"/>
        <w:ind w:right="140"/>
        <w:jc w:val="center"/>
      </w:pPr>
      <w:r>
        <w:rPr>
          <w:color w:val="000000"/>
        </w:rPr>
        <w:t>Сведения о приёмах (осмотрах), медицинских исследованиях и иных медицинских вмешательствах второго этапа диспансеризации</w:t>
      </w:r>
    </w:p>
    <w:p w:rsidR="004E73B3" w:rsidRDefault="004E73B3" w:rsidP="004E73B3">
      <w:pPr>
        <w:pStyle w:val="22"/>
        <w:shd w:val="clear" w:color="auto" w:fill="auto"/>
        <w:spacing w:line="190" w:lineRule="exact"/>
        <w:rPr>
          <w:color w:val="000000"/>
        </w:rPr>
      </w:pPr>
    </w:p>
    <w:p w:rsidR="004E73B3" w:rsidRDefault="004E73B3" w:rsidP="004E73B3">
      <w:pPr>
        <w:pStyle w:val="22"/>
        <w:shd w:val="clear" w:color="auto" w:fill="auto"/>
        <w:spacing w:line="190" w:lineRule="exact"/>
      </w:pPr>
    </w:p>
    <w:p w:rsidR="004E73B3" w:rsidRDefault="000D0E9E">
      <w:r>
        <w:rPr>
          <w:noProof/>
          <w:lang w:eastAsia="ru-RU"/>
        </w:rPr>
        <w:drawing>
          <wp:inline distT="0" distB="0" distL="0" distR="0" wp14:anchorId="722995E1" wp14:editId="4067D38C">
            <wp:extent cx="5486400" cy="3200400"/>
            <wp:effectExtent l="3810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D0E9E" w:rsidRDefault="000D0E9E"/>
    <w:p w:rsidR="000D0E9E" w:rsidRDefault="000D0E9E" w:rsidP="000D0E9E">
      <w:pPr>
        <w:pStyle w:val="1"/>
        <w:shd w:val="clear" w:color="auto" w:fill="auto"/>
        <w:spacing w:before="0" w:after="240" w:line="278" w:lineRule="exact"/>
        <w:ind w:left="20" w:right="540"/>
        <w:jc w:val="both"/>
      </w:pPr>
      <w:r>
        <w:rPr>
          <w:color w:val="000000"/>
        </w:rPr>
        <w:lastRenderedPageBreak/>
        <w:t>Число лиц, прошедших полностью все мероприятия второго этапа диспансеризации, на которое они были направлены по результатам первого этапа 7059 человек (100%).</w:t>
      </w:r>
    </w:p>
    <w:p w:rsidR="000D0E9E" w:rsidRDefault="000D0E9E" w:rsidP="000D0E9E">
      <w:pPr>
        <w:pStyle w:val="1"/>
        <w:shd w:val="clear" w:color="auto" w:fill="auto"/>
        <w:spacing w:before="0" w:after="480" w:line="278" w:lineRule="exact"/>
        <w:ind w:left="20" w:right="540"/>
        <w:jc w:val="both"/>
      </w:pPr>
      <w:r>
        <w:rPr>
          <w:color w:val="000000"/>
        </w:rPr>
        <w:t>Число лиц, прошедших частично (не все рекомендованные) мероприятия второго этапа диспансеризации, на которое они были направлены по результатам первого этапа 9 человек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тказ от проведения </w:t>
      </w:r>
      <w:proofErr w:type="spellStart"/>
      <w:r>
        <w:rPr>
          <w:color w:val="000000"/>
        </w:rPr>
        <w:t>колоноскопии</w:t>
      </w:r>
      <w:proofErr w:type="spellEnd"/>
      <w:r>
        <w:rPr>
          <w:color w:val="000000"/>
        </w:rPr>
        <w:t xml:space="preserve">, после осмотра врачом </w:t>
      </w:r>
      <w:proofErr w:type="spellStart"/>
      <w:r>
        <w:rPr>
          <w:color w:val="000000"/>
        </w:rPr>
        <w:t>колопроктологом</w:t>
      </w:r>
      <w:proofErr w:type="spellEnd"/>
      <w:r>
        <w:rPr>
          <w:color w:val="000000"/>
        </w:rPr>
        <w:t>).</w:t>
      </w:r>
    </w:p>
    <w:p w:rsidR="000D0E9E" w:rsidRDefault="000D0E9E" w:rsidP="000D0E9E">
      <w:pPr>
        <w:pStyle w:val="20"/>
        <w:shd w:val="clear" w:color="auto" w:fill="auto"/>
        <w:spacing w:after="0" w:line="278" w:lineRule="exact"/>
        <w:ind w:left="20"/>
        <w:jc w:val="center"/>
      </w:pPr>
      <w:proofErr w:type="gramStart"/>
      <w:r>
        <w:rPr>
          <w:color w:val="000000"/>
        </w:rPr>
        <w:t>Сведения о выявленных при проведении профилактического медицинского осмотра (диспансеризации) факторах риска и других патологических состояниях, и заболеваниях, повышающих вероятность развития хронических неинфекционных</w:t>
      </w:r>
      <w:proofErr w:type="gramEnd"/>
    </w:p>
    <w:p w:rsidR="000D0E9E" w:rsidRDefault="000D0E9E" w:rsidP="000D0E9E">
      <w:pPr>
        <w:pStyle w:val="20"/>
        <w:shd w:val="clear" w:color="auto" w:fill="auto"/>
        <w:spacing w:after="0" w:line="278" w:lineRule="exact"/>
        <w:ind w:left="20"/>
        <w:jc w:val="center"/>
      </w:pPr>
      <w:r>
        <w:rPr>
          <w:color w:val="000000"/>
        </w:rPr>
        <w:t>заболеваний (далее - факторы риска)</w:t>
      </w:r>
    </w:p>
    <w:p w:rsidR="000D0E9E" w:rsidRDefault="000D0E9E"/>
    <w:p w:rsidR="000D0E9E" w:rsidRDefault="000D0E9E"/>
    <w:p w:rsidR="000D0E9E" w:rsidRDefault="000D0E9E">
      <w:r>
        <w:rPr>
          <w:noProof/>
          <w:lang w:eastAsia="ru-RU"/>
        </w:rPr>
        <w:drawing>
          <wp:inline distT="0" distB="0" distL="0" distR="0">
            <wp:extent cx="6076950" cy="4343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75E1" w:rsidRDefault="003375E1" w:rsidP="003375E1">
      <w:pPr>
        <w:pStyle w:val="50"/>
        <w:shd w:val="clear" w:color="auto" w:fill="auto"/>
        <w:spacing w:line="210" w:lineRule="exact"/>
      </w:pPr>
      <w:r>
        <w:rPr>
          <w:color w:val="000000"/>
        </w:rPr>
        <w:t>Выводы - среди факторов риска преобладают поведенческие</w:t>
      </w:r>
    </w:p>
    <w:p w:rsidR="003375E1" w:rsidRDefault="003375E1" w:rsidP="003375E1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518" w:lineRule="exact"/>
        <w:ind w:left="20"/>
        <w:jc w:val="both"/>
      </w:pPr>
      <w:r>
        <w:rPr>
          <w:color w:val="000000"/>
        </w:rPr>
        <w:t>место - избыточная масса тела</w:t>
      </w:r>
    </w:p>
    <w:p w:rsidR="003375E1" w:rsidRDefault="003375E1" w:rsidP="003375E1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518" w:lineRule="exact"/>
        <w:ind w:left="20"/>
        <w:jc w:val="both"/>
      </w:pPr>
      <w:r>
        <w:rPr>
          <w:color w:val="000000"/>
        </w:rPr>
        <w:t>место - нерациональное питание</w:t>
      </w:r>
    </w:p>
    <w:p w:rsidR="003375E1" w:rsidRDefault="003375E1" w:rsidP="003375E1">
      <w:pPr>
        <w:pStyle w:val="1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518" w:lineRule="exact"/>
        <w:ind w:left="20"/>
        <w:jc w:val="both"/>
      </w:pPr>
      <w:r>
        <w:rPr>
          <w:color w:val="000000"/>
        </w:rPr>
        <w:t>место - ожирение</w:t>
      </w:r>
    </w:p>
    <w:p w:rsidR="003375E1" w:rsidRDefault="003375E1" w:rsidP="003375E1">
      <w:pPr>
        <w:pStyle w:val="1"/>
        <w:shd w:val="clear" w:color="auto" w:fill="auto"/>
        <w:spacing w:before="0" w:after="0" w:line="317" w:lineRule="exact"/>
        <w:ind w:left="20" w:right="1420"/>
        <w:rPr>
          <w:color w:val="000000"/>
        </w:rPr>
      </w:pPr>
      <w:r>
        <w:rPr>
          <w:color w:val="000000"/>
        </w:rPr>
        <w:t xml:space="preserve">Среди </w:t>
      </w:r>
      <w:proofErr w:type="gramStart"/>
      <w:r>
        <w:rPr>
          <w:color w:val="000000"/>
        </w:rPr>
        <w:t>курящих</w:t>
      </w:r>
      <w:proofErr w:type="gramEnd"/>
      <w:r>
        <w:rPr>
          <w:color w:val="000000"/>
        </w:rPr>
        <w:t xml:space="preserve"> преобладают лица трудоспособного возраста, как мужчины, так и женщины.</w:t>
      </w:r>
    </w:p>
    <w:p w:rsidR="003375E1" w:rsidRDefault="003375E1" w:rsidP="003375E1">
      <w:pPr>
        <w:pStyle w:val="1"/>
        <w:shd w:val="clear" w:color="auto" w:fill="auto"/>
        <w:spacing w:before="0" w:after="0" w:line="317" w:lineRule="exact"/>
        <w:ind w:left="20" w:right="1420"/>
      </w:pPr>
    </w:p>
    <w:p w:rsidR="003375E1" w:rsidRDefault="003375E1" w:rsidP="003375E1">
      <w:pPr>
        <w:pStyle w:val="1"/>
        <w:shd w:val="clear" w:color="auto" w:fill="auto"/>
        <w:spacing w:before="0" w:after="0" w:line="317" w:lineRule="exact"/>
        <w:ind w:left="20" w:right="1420"/>
      </w:pPr>
    </w:p>
    <w:p w:rsidR="003375E1" w:rsidRDefault="003375E1" w:rsidP="003375E1">
      <w:pPr>
        <w:pStyle w:val="1"/>
        <w:shd w:val="clear" w:color="auto" w:fill="auto"/>
        <w:spacing w:before="0" w:after="0" w:line="317" w:lineRule="exact"/>
        <w:ind w:left="20" w:right="1420"/>
      </w:pPr>
    </w:p>
    <w:p w:rsidR="003375E1" w:rsidRDefault="003375E1">
      <w:r>
        <w:rPr>
          <w:noProof/>
          <w:lang w:eastAsia="ru-RU"/>
        </w:rPr>
        <w:drawing>
          <wp:inline distT="0" distB="0" distL="0" distR="0" wp14:anchorId="6163036E" wp14:editId="2E878F45">
            <wp:extent cx="5486400" cy="3200400"/>
            <wp:effectExtent l="3810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75E1" w:rsidRDefault="003375E1">
      <w:r>
        <w:rPr>
          <w:noProof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375E1" w:rsidRDefault="003375E1">
      <w:pPr>
        <w:rPr>
          <w:color w:val="000000"/>
        </w:rPr>
      </w:pPr>
      <w:r>
        <w:rPr>
          <w:color w:val="000000"/>
        </w:rPr>
        <w:t>В возрастной структуре преобладают мужчины в возрасте 18-34 - 43%.</w:t>
      </w:r>
    </w:p>
    <w:p w:rsidR="003375E1" w:rsidRDefault="003375E1" w:rsidP="003375E1">
      <w:pPr>
        <w:pStyle w:val="20"/>
        <w:shd w:val="clear" w:color="auto" w:fill="auto"/>
        <w:spacing w:after="0" w:line="210" w:lineRule="exact"/>
        <w:ind w:left="100"/>
      </w:pPr>
      <w:r>
        <w:rPr>
          <w:color w:val="000000"/>
        </w:rPr>
        <w:t>Впервые выявленные в ходе диспансеризации заболевания</w:t>
      </w:r>
    </w:p>
    <w:p w:rsidR="003375E1" w:rsidRDefault="003375E1">
      <w:pPr>
        <w:rPr>
          <w:color w:val="000000"/>
        </w:rPr>
      </w:pPr>
      <w:bookmarkStart w:id="0" w:name="_GoBack"/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:rsidR="002D76A8" w:rsidRDefault="002D76A8" w:rsidP="002D76A8">
      <w:pPr>
        <w:pStyle w:val="1"/>
        <w:shd w:val="clear" w:color="auto" w:fill="auto"/>
        <w:spacing w:before="0" w:after="0" w:line="210" w:lineRule="exact"/>
        <w:ind w:left="100"/>
      </w:pPr>
      <w:r>
        <w:rPr>
          <w:color w:val="000000"/>
        </w:rPr>
        <w:t>Все впервые выявленные больные взяты под диспансерное наблюдение</w:t>
      </w:r>
    </w:p>
    <w:p w:rsidR="002D76A8" w:rsidRDefault="002D76A8" w:rsidP="002D76A8">
      <w:pPr>
        <w:pStyle w:val="20"/>
        <w:shd w:val="clear" w:color="auto" w:fill="auto"/>
        <w:spacing w:after="0" w:line="514" w:lineRule="exact"/>
        <w:ind w:left="20"/>
      </w:pPr>
      <w:bookmarkStart w:id="1" w:name="bookmark2"/>
      <w:r>
        <w:rPr>
          <w:color w:val="000000"/>
        </w:rPr>
        <w:t>На первом месте среди впервые выявленных заболеваний</w:t>
      </w:r>
      <w:bookmarkEnd w:id="1"/>
      <w:r w:rsidR="005862E9">
        <w:rPr>
          <w:color w:val="000000"/>
        </w:rPr>
        <w:t>:</w:t>
      </w:r>
    </w:p>
    <w:p w:rsidR="002D76A8" w:rsidRDefault="002D76A8" w:rsidP="002D76A8">
      <w:pPr>
        <w:pStyle w:val="1"/>
        <w:numPr>
          <w:ilvl w:val="0"/>
          <w:numId w:val="2"/>
        </w:numPr>
        <w:shd w:val="clear" w:color="auto" w:fill="auto"/>
        <w:tabs>
          <w:tab w:val="left" w:pos="183"/>
        </w:tabs>
        <w:spacing w:before="0" w:after="0" w:line="514" w:lineRule="exact"/>
        <w:ind w:left="20"/>
      </w:pPr>
      <w:r>
        <w:rPr>
          <w:color w:val="000000"/>
        </w:rPr>
        <w:t>место - болезни системы кровообращения</w:t>
      </w:r>
    </w:p>
    <w:p w:rsidR="002D76A8" w:rsidRDefault="002D76A8" w:rsidP="002D76A8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514" w:lineRule="exact"/>
        <w:ind w:left="20"/>
      </w:pPr>
      <w:r>
        <w:rPr>
          <w:color w:val="000000"/>
        </w:rPr>
        <w:t>место - сахарный диабет</w:t>
      </w:r>
    </w:p>
    <w:p w:rsidR="002D76A8" w:rsidRDefault="002D76A8" w:rsidP="002D76A8">
      <w:pPr>
        <w:pStyle w:val="1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266" w:line="317" w:lineRule="exact"/>
        <w:ind w:left="20" w:right="220"/>
      </w:pPr>
      <w:r>
        <w:rPr>
          <w:color w:val="000000"/>
        </w:rPr>
        <w:t xml:space="preserve">место - </w:t>
      </w:r>
      <w:proofErr w:type="spellStart"/>
      <w:r>
        <w:rPr>
          <w:color w:val="000000"/>
        </w:rPr>
        <w:t>онкозаболевания</w:t>
      </w:r>
      <w:proofErr w:type="spellEnd"/>
      <w:r>
        <w:rPr>
          <w:color w:val="000000"/>
        </w:rPr>
        <w:t xml:space="preserve">, в структуре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преобладаю заболевания </w:t>
      </w:r>
      <w:proofErr w:type="spellStart"/>
      <w:r>
        <w:rPr>
          <w:color w:val="000000"/>
        </w:rPr>
        <w:t>колоректальной</w:t>
      </w:r>
      <w:proofErr w:type="spellEnd"/>
      <w:r>
        <w:rPr>
          <w:color w:val="000000"/>
        </w:rPr>
        <w:t xml:space="preserve"> области</w:t>
      </w:r>
    </w:p>
    <w:p w:rsidR="002D76A8" w:rsidRDefault="002D76A8" w:rsidP="002D76A8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258" w:line="210" w:lineRule="exact"/>
        <w:ind w:left="20"/>
      </w:pPr>
      <w:r>
        <w:rPr>
          <w:color w:val="000000"/>
        </w:rPr>
        <w:t>место – болезни органов пищеварения</w:t>
      </w:r>
    </w:p>
    <w:p w:rsidR="002D76A8" w:rsidRDefault="002D76A8" w:rsidP="002D76A8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173" w:line="210" w:lineRule="exact"/>
        <w:ind w:left="20"/>
      </w:pPr>
      <w:r>
        <w:rPr>
          <w:color w:val="000000"/>
        </w:rPr>
        <w:t>место – ХОБЛ</w:t>
      </w:r>
    </w:p>
    <w:p w:rsidR="002D76A8" w:rsidRDefault="002D76A8" w:rsidP="002D76A8">
      <w:pPr>
        <w:pStyle w:val="1"/>
        <w:shd w:val="clear" w:color="auto" w:fill="auto"/>
        <w:spacing w:before="0" w:after="23" w:line="317" w:lineRule="exact"/>
        <w:ind w:left="20" w:right="220"/>
        <w:rPr>
          <w:color w:val="000000"/>
        </w:rPr>
      </w:pPr>
      <w:r>
        <w:rPr>
          <w:color w:val="000000"/>
        </w:rPr>
        <w:t>В структуре впервые выявленных заболеваний преобладают болезни системы кровообращения</w:t>
      </w:r>
    </w:p>
    <w:p w:rsidR="002D76A8" w:rsidRDefault="002D76A8" w:rsidP="002D76A8">
      <w:pPr>
        <w:pStyle w:val="1"/>
        <w:shd w:val="clear" w:color="auto" w:fill="auto"/>
        <w:spacing w:before="0" w:after="23" w:line="317" w:lineRule="exact"/>
        <w:ind w:left="20" w:right="220"/>
      </w:pPr>
    </w:p>
    <w:p w:rsidR="002D76A8" w:rsidRDefault="002D76A8" w:rsidP="002D76A8">
      <w:pPr>
        <w:pStyle w:val="1"/>
        <w:shd w:val="clear" w:color="auto" w:fill="auto"/>
        <w:spacing w:before="0" w:after="0" w:line="514" w:lineRule="exact"/>
        <w:ind w:left="20"/>
      </w:pPr>
      <w:r>
        <w:rPr>
          <w:color w:val="000000"/>
        </w:rPr>
        <w:t>Выполнение плана по углубленной диспансеризации за 3 квартал составило 1870 человек, 109% от годового плана.</w:t>
      </w:r>
    </w:p>
    <w:p w:rsidR="002D76A8" w:rsidRDefault="002D76A8" w:rsidP="002D76A8">
      <w:pPr>
        <w:pStyle w:val="1"/>
        <w:shd w:val="clear" w:color="auto" w:fill="auto"/>
        <w:spacing w:before="0" w:after="0" w:line="514" w:lineRule="exact"/>
        <w:ind w:left="20"/>
      </w:pPr>
      <w:r>
        <w:rPr>
          <w:color w:val="000000"/>
        </w:rPr>
        <w:t xml:space="preserve">Направлено на 2 этап 50% из </w:t>
      </w:r>
      <w:proofErr w:type="gramStart"/>
      <w:r>
        <w:rPr>
          <w:color w:val="000000"/>
        </w:rPr>
        <w:t>прошедших</w:t>
      </w:r>
      <w:proofErr w:type="gramEnd"/>
      <w:r>
        <w:rPr>
          <w:color w:val="000000"/>
        </w:rPr>
        <w:t xml:space="preserve"> углубленную диспансеризацию.</w:t>
      </w:r>
    </w:p>
    <w:p w:rsidR="002D76A8" w:rsidRDefault="002D76A8" w:rsidP="002D76A8">
      <w:pPr>
        <w:pStyle w:val="1"/>
        <w:shd w:val="clear" w:color="auto" w:fill="auto"/>
        <w:spacing w:before="0" w:after="0" w:line="514" w:lineRule="exact"/>
        <w:ind w:left="20"/>
      </w:pPr>
      <w:proofErr w:type="spellStart"/>
      <w:r>
        <w:rPr>
          <w:color w:val="000000"/>
        </w:rPr>
        <w:t>Посковидный</w:t>
      </w:r>
      <w:proofErr w:type="spellEnd"/>
      <w:r>
        <w:rPr>
          <w:color w:val="000000"/>
        </w:rPr>
        <w:t xml:space="preserve"> синдром выявлен в 50 % случаев, у лиц, переболевших НКВИ.</w:t>
      </w:r>
    </w:p>
    <w:p w:rsidR="002D76A8" w:rsidRDefault="002D76A8" w:rsidP="002D76A8">
      <w:pPr>
        <w:pStyle w:val="1"/>
        <w:shd w:val="clear" w:color="auto" w:fill="auto"/>
        <w:spacing w:before="0" w:after="0" w:line="317" w:lineRule="exact"/>
        <w:ind w:left="20" w:right="220"/>
      </w:pPr>
      <w:r>
        <w:rPr>
          <w:color w:val="000000"/>
        </w:rPr>
        <w:t>Направлены на реабилитацию в отделение физиотерапии 21 человек, в санаторий 15 человек, в дневной стационар 36 человек.</w:t>
      </w:r>
    </w:p>
    <w:p w:rsidR="003375E1" w:rsidRDefault="003375E1"/>
    <w:p w:rsidR="002D76A8" w:rsidRDefault="002D76A8" w:rsidP="002D76A8">
      <w:pPr>
        <w:pStyle w:val="20"/>
        <w:shd w:val="clear" w:color="auto" w:fill="auto"/>
        <w:spacing w:after="0"/>
        <w:ind w:left="20" w:right="140"/>
        <w:jc w:val="both"/>
      </w:pPr>
      <w:r>
        <w:rPr>
          <w:color w:val="000000"/>
        </w:rPr>
        <w:t>Общие итоги диспансеризации и профилактического медицинского осмотра (группы состояния здоровья)</w:t>
      </w:r>
    </w:p>
    <w:p w:rsidR="002D76A8" w:rsidRDefault="002D76A8"/>
    <w:p w:rsidR="002D76A8" w:rsidRDefault="002D76A8"/>
    <w:p w:rsidR="002D76A8" w:rsidRDefault="002D76A8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4"/>
        <w:gridCol w:w="4377"/>
      </w:tblGrid>
      <w:tr w:rsidR="002D76A8" w:rsidTr="005862E9">
        <w:trPr>
          <w:trHeight w:val="419"/>
        </w:trPr>
        <w:tc>
          <w:tcPr>
            <w:tcW w:w="4374" w:type="dxa"/>
          </w:tcPr>
          <w:p w:rsidR="002D76A8" w:rsidRPr="002D76A8" w:rsidRDefault="002D76A8" w:rsidP="002D76A8">
            <w:pPr>
              <w:pStyle w:val="11"/>
              <w:shd w:val="clear" w:color="auto" w:fill="auto"/>
              <w:spacing w:before="0" w:line="250" w:lineRule="exact"/>
              <w:rPr>
                <w:b w:val="0"/>
                <w:sz w:val="24"/>
                <w:szCs w:val="24"/>
              </w:rPr>
            </w:pPr>
            <w:r w:rsidRPr="002D76A8">
              <w:rPr>
                <w:b w:val="0"/>
                <w:sz w:val="24"/>
                <w:szCs w:val="24"/>
              </w:rPr>
              <w:t>Группа здоровья 1</w:t>
            </w:r>
          </w:p>
        </w:tc>
        <w:tc>
          <w:tcPr>
            <w:tcW w:w="4377" w:type="dxa"/>
          </w:tcPr>
          <w:p w:rsidR="002D76A8" w:rsidRDefault="005862E9">
            <w:r>
              <w:t>6536 - 39%</w:t>
            </w:r>
          </w:p>
        </w:tc>
      </w:tr>
      <w:tr w:rsidR="002D76A8" w:rsidTr="005862E9">
        <w:trPr>
          <w:trHeight w:val="444"/>
        </w:trPr>
        <w:tc>
          <w:tcPr>
            <w:tcW w:w="4374" w:type="dxa"/>
          </w:tcPr>
          <w:p w:rsidR="002D76A8" w:rsidRPr="002D76A8" w:rsidRDefault="002D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2</w:t>
            </w:r>
          </w:p>
        </w:tc>
        <w:tc>
          <w:tcPr>
            <w:tcW w:w="4377" w:type="dxa"/>
          </w:tcPr>
          <w:p w:rsidR="002D76A8" w:rsidRDefault="005862E9">
            <w:r>
              <w:t>326 - 2%</w:t>
            </w:r>
          </w:p>
        </w:tc>
      </w:tr>
      <w:tr w:rsidR="002D76A8" w:rsidTr="005862E9">
        <w:trPr>
          <w:trHeight w:val="444"/>
        </w:trPr>
        <w:tc>
          <w:tcPr>
            <w:tcW w:w="4374" w:type="dxa"/>
          </w:tcPr>
          <w:p w:rsidR="002D76A8" w:rsidRPr="002D76A8" w:rsidRDefault="002D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3</w:t>
            </w:r>
          </w:p>
        </w:tc>
        <w:tc>
          <w:tcPr>
            <w:tcW w:w="4377" w:type="dxa"/>
          </w:tcPr>
          <w:p w:rsidR="002D76A8" w:rsidRDefault="005862E9">
            <w:r>
              <w:t>9871 - 59%</w:t>
            </w:r>
          </w:p>
        </w:tc>
      </w:tr>
    </w:tbl>
    <w:p w:rsidR="002D76A8" w:rsidRDefault="002D76A8"/>
    <w:p w:rsidR="005862E9" w:rsidRPr="005862E9" w:rsidRDefault="005862E9" w:rsidP="005862E9">
      <w:pPr>
        <w:pStyle w:val="1"/>
        <w:shd w:val="clear" w:color="auto" w:fill="auto"/>
        <w:spacing w:before="0" w:after="0" w:line="317" w:lineRule="exact"/>
        <w:ind w:left="20" w:right="140"/>
        <w:rPr>
          <w:sz w:val="24"/>
        </w:rPr>
      </w:pPr>
      <w:r w:rsidRPr="005862E9">
        <w:rPr>
          <w:color w:val="000000"/>
          <w:sz w:val="24"/>
        </w:rPr>
        <w:t>Выводы среди групп здоровья превалирует 3, что связано с возрастным составом прикрепленного населения, страдающим хроническими заболеваниями.</w:t>
      </w:r>
    </w:p>
    <w:p w:rsidR="005862E9" w:rsidRDefault="005862E9"/>
    <w:p w:rsidR="005862E9" w:rsidRPr="005862E9" w:rsidRDefault="005862E9" w:rsidP="005862E9">
      <w:pPr>
        <w:pStyle w:val="20"/>
        <w:shd w:val="clear" w:color="auto" w:fill="auto"/>
        <w:spacing w:after="0" w:line="210" w:lineRule="exact"/>
        <w:ind w:left="20"/>
        <w:rPr>
          <w:sz w:val="24"/>
        </w:rPr>
      </w:pPr>
      <w:r w:rsidRPr="005862E9">
        <w:rPr>
          <w:color w:val="000000"/>
          <w:sz w:val="24"/>
        </w:rPr>
        <w:t>Пройдите диспансеризацию! Узнайте все о своем здоровье!</w:t>
      </w:r>
    </w:p>
    <w:p w:rsidR="005862E9" w:rsidRDefault="005862E9"/>
    <w:sectPr w:rsidR="0058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3BA"/>
    <w:multiLevelType w:val="multilevel"/>
    <w:tmpl w:val="6CFC70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87601"/>
    <w:multiLevelType w:val="multilevel"/>
    <w:tmpl w:val="CDFCD7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F8"/>
    <w:rsid w:val="000D0E9E"/>
    <w:rsid w:val="002D76A8"/>
    <w:rsid w:val="003375E1"/>
    <w:rsid w:val="00442E60"/>
    <w:rsid w:val="004E73B3"/>
    <w:rsid w:val="005862E9"/>
    <w:rsid w:val="005F1E80"/>
    <w:rsid w:val="00807A0F"/>
    <w:rsid w:val="00E41C8B"/>
    <w:rsid w:val="00E84DF8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1C8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C8B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1"/>
    <w:rsid w:val="00E41C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41C8B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E4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1C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C8B"/>
    <w:rPr>
      <w:rFonts w:ascii="Tahoma" w:hAnsi="Tahoma" w:cs="Tahoma"/>
      <w:sz w:val="16"/>
      <w:szCs w:val="16"/>
    </w:rPr>
  </w:style>
  <w:style w:type="character" w:customStyle="1" w:styleId="21">
    <w:name w:val="Подпись к картинке (2)_"/>
    <w:basedOn w:val="a0"/>
    <w:link w:val="22"/>
    <w:rsid w:val="004E73B3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4E73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customStyle="1" w:styleId="5">
    <w:name w:val="Подпись к картинке (5)_"/>
    <w:basedOn w:val="a0"/>
    <w:link w:val="50"/>
    <w:rsid w:val="003375E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Подпись к картинке (5)"/>
    <w:basedOn w:val="a"/>
    <w:link w:val="5"/>
    <w:rsid w:val="003375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rsid w:val="002D76A8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2D76A8"/>
    <w:pPr>
      <w:widowControl w:val="0"/>
      <w:shd w:val="clear" w:color="auto" w:fill="FFFFFF"/>
      <w:spacing w:before="480" w:after="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1C8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C8B"/>
    <w:pPr>
      <w:widowControl w:val="0"/>
      <w:shd w:val="clear" w:color="auto" w:fill="FFFFFF"/>
      <w:spacing w:after="120" w:line="317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1"/>
    <w:rsid w:val="00E41C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41C8B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59"/>
    <w:rsid w:val="00E4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1C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C8B"/>
    <w:rPr>
      <w:rFonts w:ascii="Tahoma" w:hAnsi="Tahoma" w:cs="Tahoma"/>
      <w:sz w:val="16"/>
      <w:szCs w:val="16"/>
    </w:rPr>
  </w:style>
  <w:style w:type="character" w:customStyle="1" w:styleId="21">
    <w:name w:val="Подпись к картинке (2)_"/>
    <w:basedOn w:val="a0"/>
    <w:link w:val="22"/>
    <w:rsid w:val="004E73B3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4E73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character" w:customStyle="1" w:styleId="5">
    <w:name w:val="Подпись к картинке (5)_"/>
    <w:basedOn w:val="a0"/>
    <w:link w:val="50"/>
    <w:rsid w:val="003375E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Подпись к картинке (5)"/>
    <w:basedOn w:val="a"/>
    <w:link w:val="5"/>
    <w:rsid w:val="003375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rsid w:val="002D76A8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2D76A8"/>
    <w:pPr>
      <w:widowControl w:val="0"/>
      <w:shd w:val="clear" w:color="auto" w:fill="FFFFFF"/>
      <w:spacing w:before="480" w:after="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Проведено</c:v>
                </c:pt>
                <c:pt idx="1">
                  <c:v>Подлежало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4929</c:v>
                </c:pt>
                <c:pt idx="1">
                  <c:v>4829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2528000"/>
        <c:axId val="53453952"/>
      </c:barChart>
      <c:catAx>
        <c:axId val="92528000"/>
        <c:scaling>
          <c:orientation val="minMax"/>
        </c:scaling>
        <c:delete val="0"/>
        <c:axPos val="b"/>
        <c:majorTickMark val="out"/>
        <c:minorTickMark val="none"/>
        <c:tickLblPos val="nextTo"/>
        <c:crossAx val="53453952"/>
        <c:crosses val="autoZero"/>
        <c:auto val="1"/>
        <c:lblAlgn val="ctr"/>
        <c:lblOffset val="100"/>
        <c:noMultiLvlLbl val="0"/>
      </c:catAx>
      <c:valAx>
        <c:axId val="5345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528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Нейрос. Тугоухость</c:v>
                </c:pt>
                <c:pt idx="1">
                  <c:v>Снижение зрения</c:v>
                </c:pt>
                <c:pt idx="2">
                  <c:v>Глаукома</c:v>
                </c:pt>
                <c:pt idx="3">
                  <c:v>Болезни пищевар</c:v>
                </c:pt>
                <c:pt idx="4">
                  <c:v>ХОБЛ</c:v>
                </c:pt>
                <c:pt idx="5">
                  <c:v>Сахарный диабет</c:v>
                </c:pt>
                <c:pt idx="6">
                  <c:v>ЗНО</c:v>
                </c:pt>
                <c:pt idx="7">
                  <c:v>БСК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25</c:v>
                </c:pt>
                <c:pt idx="2">
                  <c:v>8</c:v>
                </c:pt>
                <c:pt idx="3">
                  <c:v>44</c:v>
                </c:pt>
                <c:pt idx="4">
                  <c:v>33</c:v>
                </c:pt>
                <c:pt idx="5">
                  <c:v>51</c:v>
                </c:pt>
                <c:pt idx="6">
                  <c:v>50</c:v>
                </c:pt>
                <c:pt idx="7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Группы здоровья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Группа здоровья 1</c:v>
                </c:pt>
                <c:pt idx="1">
                  <c:v>Группа здоровья 2</c:v>
                </c:pt>
                <c:pt idx="2">
                  <c:v>Группа здоровья 3а</c:v>
                </c:pt>
                <c:pt idx="3">
                  <c:v>Группа здоровья 3б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6536</c:v>
                </c:pt>
                <c:pt idx="1">
                  <c:v>326</c:v>
                </c:pt>
                <c:pt idx="2">
                  <c:v>5733</c:v>
                </c:pt>
                <c:pt idx="3">
                  <c:v>4138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Подлежало </c:v>
                </c:pt>
                <c:pt idx="1">
                  <c:v>Проведено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12987</c:v>
                </c:pt>
                <c:pt idx="1">
                  <c:v>4829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749248"/>
        <c:axId val="53750784"/>
      </c:barChart>
      <c:catAx>
        <c:axId val="53749248"/>
        <c:scaling>
          <c:orientation val="minMax"/>
        </c:scaling>
        <c:delete val="0"/>
        <c:axPos val="b"/>
        <c:majorTickMark val="out"/>
        <c:minorTickMark val="none"/>
        <c:tickLblPos val="nextTo"/>
        <c:crossAx val="53750784"/>
        <c:crosses val="autoZero"/>
        <c:auto val="1"/>
        <c:lblAlgn val="ctr"/>
        <c:lblOffset val="100"/>
        <c:noMultiLvlLbl val="0"/>
      </c:catAx>
      <c:valAx>
        <c:axId val="5375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749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Проф.осмотр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2823</c:v>
                </c:pt>
                <c:pt idx="1">
                  <c:v>2106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Диспансеризация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4784</c:v>
                </c:pt>
                <c:pt idx="1">
                  <c:v>7020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ПСА</c:v>
                </c:pt>
                <c:pt idx="1">
                  <c:v>Кал(+)</c:v>
                </c:pt>
                <c:pt idx="2">
                  <c:v>Глюкоза </c:v>
                </c:pt>
                <c:pt idx="3">
                  <c:v>АД</c:v>
                </c:pt>
                <c:pt idx="4">
                  <c:v>Холестерин</c:v>
                </c:pt>
                <c:pt idx="5">
                  <c:v>Анкетирование</c:v>
                </c:pt>
                <c:pt idx="6">
                  <c:v>Повышенный ССР</c:v>
                </c:pt>
                <c:pt idx="7">
                  <c:v>Антропометрия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330</c:v>
                </c:pt>
                <c:pt idx="2">
                  <c:v>1981</c:v>
                </c:pt>
                <c:pt idx="3">
                  <c:v>2711</c:v>
                </c:pt>
                <c:pt idx="4">
                  <c:v>4829</c:v>
                </c:pt>
                <c:pt idx="5">
                  <c:v>2873</c:v>
                </c:pt>
                <c:pt idx="6">
                  <c:v>112</c:v>
                </c:pt>
                <c:pt idx="7">
                  <c:v>6446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выполнено исследований, осмотров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Невролог</c:v>
                </c:pt>
                <c:pt idx="1">
                  <c:v>Окулист</c:v>
                </c:pt>
                <c:pt idx="2">
                  <c:v>ЛОР</c:v>
                </c:pt>
                <c:pt idx="3">
                  <c:v>Гинеколог</c:v>
                </c:pt>
                <c:pt idx="4">
                  <c:v>Проктолог</c:v>
                </c:pt>
                <c:pt idx="5">
                  <c:v>Колоноскопия</c:v>
                </c:pt>
                <c:pt idx="6">
                  <c:v>УЗДГ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340</c:v>
                </c:pt>
                <c:pt idx="1">
                  <c:v>381</c:v>
                </c:pt>
                <c:pt idx="2">
                  <c:v>263</c:v>
                </c:pt>
                <c:pt idx="3">
                  <c:v>172</c:v>
                </c:pt>
                <c:pt idx="4">
                  <c:v>337</c:v>
                </c:pt>
                <c:pt idx="5">
                  <c:v>96</c:v>
                </c:pt>
                <c:pt idx="6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Ранговые места факторов риска в абсолютных цифрах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Курение</c:v>
                </c:pt>
                <c:pt idx="1">
                  <c:v>Избыточная масса тела</c:v>
                </c:pt>
                <c:pt idx="2">
                  <c:v>Ожирение</c:v>
                </c:pt>
                <c:pt idx="3">
                  <c:v>Гипергликемия</c:v>
                </c:pt>
                <c:pt idx="4">
                  <c:v>Гиперхолестеринемия</c:v>
                </c:pt>
                <c:pt idx="5">
                  <c:v>Нерациональное питание</c:v>
                </c:pt>
                <c:pt idx="6">
                  <c:v>Низкая физическая активность</c:v>
                </c:pt>
                <c:pt idx="7">
                  <c:v>Потребление алкоголя</c:v>
                </c:pt>
                <c:pt idx="8">
                  <c:v>Потребление наркотиков</c:v>
                </c:pt>
                <c:pt idx="9">
                  <c:v>отягощенная инфаркт</c:v>
                </c:pt>
                <c:pt idx="10">
                  <c:v>отягощенная инсульт</c:v>
                </c:pt>
                <c:pt idx="11">
                  <c:v>отягощенная ЗНО колорек. рак</c:v>
                </c:pt>
                <c:pt idx="12">
                  <c:v>ЗНО др. локализаций</c:v>
                </c:pt>
                <c:pt idx="13">
                  <c:v>ХОБЛ</c:v>
                </c:pt>
                <c:pt idx="14">
                  <c:v>отягощенная сах. диабет</c:v>
                </c:pt>
                <c:pt idx="15">
                  <c:v>Высокий ССР</c:v>
                </c:pt>
                <c:pt idx="16">
                  <c:v>Старческая астения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605</c:v>
                </c:pt>
                <c:pt idx="1">
                  <c:v>4040</c:v>
                </c:pt>
                <c:pt idx="2">
                  <c:v>2406</c:v>
                </c:pt>
                <c:pt idx="3">
                  <c:v>1488</c:v>
                </c:pt>
                <c:pt idx="4">
                  <c:v>4829</c:v>
                </c:pt>
                <c:pt idx="5">
                  <c:v>3224</c:v>
                </c:pt>
                <c:pt idx="6">
                  <c:v>2115</c:v>
                </c:pt>
                <c:pt idx="7">
                  <c:v>177</c:v>
                </c:pt>
                <c:pt idx="8">
                  <c:v>7</c:v>
                </c:pt>
                <c:pt idx="9">
                  <c:v>1662</c:v>
                </c:pt>
                <c:pt idx="10">
                  <c:v>888</c:v>
                </c:pt>
                <c:pt idx="11">
                  <c:v>71</c:v>
                </c:pt>
                <c:pt idx="12">
                  <c:v>481</c:v>
                </c:pt>
                <c:pt idx="13">
                  <c:v>389</c:v>
                </c:pt>
                <c:pt idx="14">
                  <c:v>1108</c:v>
                </c:pt>
                <c:pt idx="15">
                  <c:v>121</c:v>
                </c:pt>
                <c:pt idx="16">
                  <c:v>1764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139520"/>
        <c:axId val="54157696"/>
      </c:barChart>
      <c:catAx>
        <c:axId val="54139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4157696"/>
        <c:crosses val="autoZero"/>
        <c:auto val="1"/>
        <c:lblAlgn val="ctr"/>
        <c:lblOffset val="100"/>
        <c:noMultiLvlLbl val="0"/>
      </c:catAx>
      <c:valAx>
        <c:axId val="54157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4139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3251</c:v>
                </c:pt>
                <c:pt idx="1">
                  <c:v>1112</c:v>
                </c:pt>
                <c:pt idx="2">
                  <c:v>1161</c:v>
                </c:pt>
                <c:pt idx="3">
                  <c:v>345</c:v>
                </c:pt>
                <c:pt idx="4">
                  <c:v>569</c:v>
                </c:pt>
                <c:pt idx="5">
                  <c:v>914</c:v>
                </c:pt>
                <c:pt idx="6">
                  <c:v>255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Женщины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2674</c:v>
                </c:pt>
                <c:pt idx="1">
                  <c:v>870</c:v>
                </c:pt>
                <c:pt idx="2">
                  <c:v>1523</c:v>
                </c:pt>
                <c:pt idx="3">
                  <c:v>604</c:v>
                </c:pt>
                <c:pt idx="4">
                  <c:v>954</c:v>
                </c:pt>
                <c:pt idx="5">
                  <c:v>1487</c:v>
                </c:pt>
                <c:pt idx="6">
                  <c:v>1014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0.26563</cdr:x>
      <cdr:y>0.41071</cdr:y>
    </cdr:from>
    <cdr:to>
      <cdr:x>0.35938</cdr:x>
      <cdr:y>0.48512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457325" y="1314450"/>
          <a:ext cx="5143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2106</a:t>
          </a:r>
        </a:p>
      </cdr:txBody>
    </cdr:sp>
  </cdr:relSizeAnchor>
  <cdr:relSizeAnchor xmlns:cdr="http://schemas.openxmlformats.org/drawingml/2006/chartDrawing">
    <cdr:from>
      <cdr:x>0.47569</cdr:x>
      <cdr:y>0.58036</cdr:y>
    </cdr:from>
    <cdr:to>
      <cdr:x>0.57639</cdr:x>
      <cdr:y>0.64583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609850" y="1857375"/>
          <a:ext cx="55245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2823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0.25174</cdr:x>
      <cdr:y>0.54464</cdr:y>
    </cdr:from>
    <cdr:to>
      <cdr:x>0.34896</cdr:x>
      <cdr:y>0.6131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381125" y="1743075"/>
          <a:ext cx="533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7020</a:t>
          </a:r>
        </a:p>
      </cdr:txBody>
    </cdr:sp>
  </cdr:relSizeAnchor>
  <cdr:relSizeAnchor xmlns:cdr="http://schemas.openxmlformats.org/drawingml/2006/chartDrawing">
    <cdr:from>
      <cdr:x>0.51042</cdr:x>
      <cdr:y>0.42857</cdr:y>
    </cdr:from>
    <cdr:to>
      <cdr:x>0.6059</cdr:x>
      <cdr:y>0.49702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800350" y="1371600"/>
          <a:ext cx="5238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4784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B6BE-1421-4CEB-BE3A-FE299554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2022-11-30T08:54:00Z</dcterms:created>
  <dcterms:modified xsi:type="dcterms:W3CDTF">2022-12-01T11:48:00Z</dcterms:modified>
</cp:coreProperties>
</file>